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3188" w:rsidRDefault="00A53188" w:rsidP="00A53188">
      <w:pPr>
        <w:pStyle w:val="a3"/>
        <w:jc w:val="center"/>
        <w:rPr>
          <w:rFonts w:ascii="Times New Roman" w:hAnsi="Times New Roman" w:cs="Times New Roman"/>
          <w:b/>
          <w:sz w:val="24"/>
          <w:szCs w:val="24"/>
          <w:lang w:val="kk-KZ"/>
        </w:rPr>
      </w:pPr>
      <w:r>
        <w:rPr>
          <w:rFonts w:ascii="Times New Roman" w:hAnsi="Times New Roman" w:cs="Times New Roman"/>
          <w:b/>
          <w:sz w:val="24"/>
          <w:szCs w:val="24"/>
          <w:lang w:val="kk-KZ"/>
        </w:rPr>
        <w:t>10</w:t>
      </w:r>
      <w:r w:rsidRPr="00D77337">
        <w:rPr>
          <w:rFonts w:ascii="Times New Roman" w:hAnsi="Times New Roman" w:cs="Times New Roman"/>
          <w:b/>
          <w:sz w:val="24"/>
          <w:szCs w:val="24"/>
          <w:lang w:val="kk-KZ"/>
        </w:rPr>
        <w:t xml:space="preserve"> Дәріс. Бағалаудың есептік-конструктивтік әдісі</w:t>
      </w:r>
    </w:p>
    <w:p w:rsidR="00A53188" w:rsidRPr="00D77337" w:rsidRDefault="00A53188" w:rsidP="00A53188">
      <w:pPr>
        <w:pStyle w:val="a3"/>
        <w:jc w:val="center"/>
        <w:rPr>
          <w:rFonts w:ascii="Times New Roman" w:hAnsi="Times New Roman" w:cs="Times New Roman"/>
          <w:b/>
          <w:sz w:val="24"/>
          <w:szCs w:val="24"/>
          <w:lang w:val="kk-KZ"/>
        </w:rPr>
      </w:pPr>
    </w:p>
    <w:p w:rsidR="00A53188" w:rsidRPr="00D77337" w:rsidRDefault="00A53188" w:rsidP="00A53188">
      <w:pPr>
        <w:pStyle w:val="a3"/>
        <w:ind w:firstLine="851"/>
        <w:jc w:val="both"/>
        <w:rPr>
          <w:rFonts w:ascii="Times New Roman" w:hAnsi="Times New Roman" w:cs="Times New Roman"/>
          <w:i/>
          <w:sz w:val="24"/>
          <w:szCs w:val="24"/>
          <w:lang w:val="kk-KZ"/>
        </w:rPr>
      </w:pPr>
      <w:r w:rsidRPr="00D77337">
        <w:rPr>
          <w:rFonts w:ascii="Times New Roman" w:hAnsi="Times New Roman" w:cs="Times New Roman"/>
          <w:i/>
          <w:sz w:val="24"/>
          <w:szCs w:val="24"/>
          <w:lang w:val="kk-KZ"/>
        </w:rPr>
        <w:t>Шаруашылықтардың егістік жерлеріне бағалау шкаласын жасау төмендегіиретпен жүргізіледі:</w:t>
      </w:r>
    </w:p>
    <w:p w:rsidR="00A53188" w:rsidRPr="00D77337" w:rsidRDefault="00A53188" w:rsidP="00A53188">
      <w:pPr>
        <w:pStyle w:val="a3"/>
        <w:ind w:firstLine="851"/>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Шаруашылықтың егістік жерлерінің балл бонитеті әрбір топырақ түрлерінің балл бонитеттерінің орташа өлшемдері бойынша мына формуламен анықталады:</w:t>
      </w:r>
    </w:p>
    <w:p w:rsidR="00A53188" w:rsidRPr="00D77337" w:rsidRDefault="00A53188" w:rsidP="00A53188">
      <w:pPr>
        <w:pStyle w:val="a3"/>
        <w:ind w:firstLine="851"/>
        <w:jc w:val="both"/>
        <w:rPr>
          <w:rFonts w:ascii="Times New Roman" w:hAnsi="Times New Roman" w:cs="Times New Roman"/>
          <w:i/>
          <w:sz w:val="24"/>
          <w:szCs w:val="24"/>
          <w:lang w:val="en-US"/>
        </w:rPr>
      </w:pPr>
      <m:oMathPara>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Б</m:t>
              </m:r>
            </m:e>
            <m:sub>
              <m:r>
                <w:rPr>
                  <w:rFonts w:ascii="Cambria Math" w:hAnsi="Cambria Math" w:cs="Times New Roman"/>
                  <w:sz w:val="24"/>
                  <w:szCs w:val="24"/>
                  <w:lang w:val="kk-KZ"/>
                </w:rPr>
                <m:t>ш</m:t>
              </m:r>
            </m:sub>
          </m:sSub>
          <m:r>
            <w:rPr>
              <w:rFonts w:ascii="Cambria Math" w:hAnsi="Cambria Math" w:cs="Times New Roman"/>
              <w:sz w:val="24"/>
              <w:szCs w:val="24"/>
              <w:lang w:val="en-US"/>
            </w:rPr>
            <m:t>=</m:t>
          </m:r>
          <m:f>
            <m:fPr>
              <m:ctrlPr>
                <w:rPr>
                  <w:rFonts w:ascii="Cambria Math" w:hAnsi="Cambria Math" w:cs="Times New Roman"/>
                  <w:i/>
                  <w:sz w:val="24"/>
                  <w:szCs w:val="24"/>
                  <w:lang w:val="en-US"/>
                </w:rPr>
              </m:ctrlPr>
            </m:fPr>
            <m:num>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К</m:t>
                  </m:r>
                </m:e>
                <m:sub>
                  <m:r>
                    <w:rPr>
                      <w:rFonts w:ascii="Cambria Math" w:hAnsi="Cambria Math" w:cs="Times New Roman"/>
                      <w:sz w:val="24"/>
                      <w:szCs w:val="24"/>
                      <w:lang w:val="en-US"/>
                    </w:rPr>
                    <m:t>1-п</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Б</m:t>
                  </m:r>
                </m:e>
                <m:sub>
                  <m:r>
                    <w:rPr>
                      <w:rFonts w:ascii="Cambria Math" w:hAnsi="Cambria Math" w:cs="Times New Roman"/>
                      <w:sz w:val="24"/>
                      <w:szCs w:val="24"/>
                      <w:lang w:val="en-US"/>
                    </w:rPr>
                    <m:t>1-п</m:t>
                  </m:r>
                </m:sub>
              </m:sSub>
            </m:num>
            <m:den>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К</m:t>
                  </m:r>
                </m:e>
                <m:sub>
                  <m:r>
                    <w:rPr>
                      <w:rFonts w:ascii="Cambria Math" w:hAnsi="Cambria Math" w:cs="Times New Roman"/>
                      <w:sz w:val="24"/>
                      <w:szCs w:val="24"/>
                      <w:lang w:val="en-US"/>
                    </w:rPr>
                    <m:t>1∓п</m:t>
                  </m:r>
                </m:sub>
              </m:sSub>
            </m:den>
          </m:f>
        </m:oMath>
      </m:oMathPara>
    </w:p>
    <w:p w:rsidR="00A53188" w:rsidRPr="00D77337" w:rsidRDefault="00A53188" w:rsidP="00A53188">
      <w:pPr>
        <w:pStyle w:val="a3"/>
        <w:jc w:val="both"/>
        <w:rPr>
          <w:rFonts w:ascii="Times New Roman" w:hAnsi="Times New Roman" w:cs="Times New Roman"/>
          <w:sz w:val="24"/>
          <w:szCs w:val="24"/>
          <w:lang w:val="kk-KZ"/>
        </w:rPr>
      </w:pPr>
    </w:p>
    <w:p w:rsidR="00A53188" w:rsidRPr="00D77337" w:rsidRDefault="00A53188" w:rsidP="00A53188">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Мұндағы: </w:t>
      </w:r>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Б</m:t>
            </m:r>
          </m:e>
          <m:sub>
            <m:r>
              <w:rPr>
                <w:rFonts w:ascii="Cambria Math" w:hAnsi="Cambria Math" w:cs="Times New Roman"/>
                <w:sz w:val="24"/>
                <w:szCs w:val="24"/>
                <w:lang w:val="kk-KZ"/>
              </w:rPr>
              <m:t>ш</m:t>
            </m:r>
          </m:sub>
        </m:sSub>
      </m:oMath>
      <w:r w:rsidRPr="00D77337">
        <w:rPr>
          <w:rFonts w:ascii="Times New Roman" w:hAnsi="Times New Roman" w:cs="Times New Roman"/>
          <w:sz w:val="24"/>
          <w:szCs w:val="24"/>
          <w:lang w:val="kk-KZ"/>
        </w:rPr>
        <w:t>-шаруашылық егістігінің балл бонитеті;</w:t>
      </w:r>
    </w:p>
    <w:p w:rsidR="00A53188" w:rsidRPr="00D77337" w:rsidRDefault="00A53188" w:rsidP="00A53188">
      <w:pPr>
        <w:pStyle w:val="a3"/>
        <w:jc w:val="both"/>
        <w:rPr>
          <w:rFonts w:ascii="Times New Roman" w:hAnsi="Times New Roman" w:cs="Times New Roman"/>
          <w:sz w:val="24"/>
          <w:szCs w:val="24"/>
          <w:lang w:val="kk-KZ"/>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kk-KZ"/>
              </w:rPr>
              <m:t>К</m:t>
            </m:r>
          </m:e>
          <m:sub>
            <m:r>
              <w:rPr>
                <w:rFonts w:ascii="Cambria Math" w:hAnsi="Cambria Math" w:cs="Times New Roman"/>
                <w:sz w:val="24"/>
                <w:szCs w:val="24"/>
                <w:lang w:val="kk-KZ"/>
              </w:rPr>
              <m:t>1-п</m:t>
            </m:r>
          </m:sub>
        </m:sSub>
      </m:oMath>
      <w:r w:rsidRPr="00D77337">
        <w:rPr>
          <w:rFonts w:ascii="Times New Roman" w:hAnsi="Times New Roman" w:cs="Times New Roman"/>
          <w:sz w:val="24"/>
          <w:szCs w:val="24"/>
          <w:lang w:val="kk-KZ"/>
        </w:rPr>
        <w:t>-топырақ түрлері тармақтарының көлемі;</w:t>
      </w:r>
    </w:p>
    <w:p w:rsidR="00A53188" w:rsidRPr="00D77337" w:rsidRDefault="00A53188" w:rsidP="00A53188">
      <w:pPr>
        <w:pStyle w:val="a3"/>
        <w:jc w:val="both"/>
        <w:rPr>
          <w:rFonts w:ascii="Times New Roman" w:hAnsi="Times New Roman" w:cs="Times New Roman"/>
          <w:sz w:val="24"/>
          <w:szCs w:val="24"/>
          <w:lang w:val="kk-KZ"/>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kk-KZ"/>
              </w:rPr>
              <m:t>К</m:t>
            </m:r>
          </m:e>
          <m:sub>
            <m:r>
              <w:rPr>
                <w:rFonts w:ascii="Cambria Math" w:hAnsi="Cambria Math" w:cs="Times New Roman"/>
                <w:sz w:val="24"/>
                <w:szCs w:val="24"/>
                <w:lang w:val="kk-KZ"/>
              </w:rPr>
              <m:t>1∓п</m:t>
            </m:r>
          </m:sub>
        </m:sSub>
      </m:oMath>
      <w:r w:rsidRPr="00D77337">
        <w:rPr>
          <w:rFonts w:ascii="Times New Roman" w:hAnsi="Times New Roman" w:cs="Times New Roman"/>
          <w:sz w:val="24"/>
          <w:szCs w:val="24"/>
          <w:lang w:val="kk-KZ"/>
        </w:rPr>
        <w:t>- топырақ түрлері тармақтарының балл бониеті.</w:t>
      </w:r>
    </w:p>
    <w:p w:rsidR="00A53188" w:rsidRPr="00D77337" w:rsidRDefault="00A53188" w:rsidP="00A53188">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Құрама (комплексті) топырақты жер учаскелерінің балл бонитеті әр құрамның (комплекстің) компонентінің орташа өлшем мөлшеріне сәйкес біркелкі контурға негізделіп қайтадан есептеледі:</w:t>
      </w:r>
    </w:p>
    <w:p w:rsidR="00A53188" w:rsidRPr="00D77337" w:rsidRDefault="00A53188" w:rsidP="00A53188">
      <w:pPr>
        <w:pStyle w:val="a3"/>
        <w:ind w:firstLine="1276"/>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әрбәр топырақ түрлерінің сапалық баллдары ауыл шаруашылық дақылдардың көпжылдық орташа шығымдылығымен салыстырылады.</w:t>
      </w:r>
    </w:p>
    <w:p w:rsidR="00A53188" w:rsidRPr="00D77337" w:rsidRDefault="00A53188" w:rsidP="00A53188">
      <w:pPr>
        <w:pStyle w:val="a3"/>
        <w:ind w:firstLine="851"/>
        <w:jc w:val="both"/>
        <w:rPr>
          <w:rFonts w:ascii="Times New Roman" w:hAnsi="Times New Roman" w:cs="Times New Roman"/>
          <w:i/>
          <w:sz w:val="24"/>
          <w:szCs w:val="24"/>
          <w:lang w:val="kk-KZ"/>
        </w:rPr>
      </w:pPr>
      <w:r w:rsidRPr="00D77337">
        <w:rPr>
          <w:rFonts w:ascii="Times New Roman" w:hAnsi="Times New Roman" w:cs="Times New Roman"/>
          <w:i/>
          <w:sz w:val="24"/>
          <w:szCs w:val="24"/>
          <w:lang w:val="kk-KZ"/>
        </w:rPr>
        <w:t>Суармалы егістік жерлердің топырақ сапасын айыру.</w:t>
      </w:r>
    </w:p>
    <w:p w:rsidR="00A53188" w:rsidRPr="00D77337" w:rsidRDefault="00A53188" w:rsidP="00A53188">
      <w:pPr>
        <w:pStyle w:val="a3"/>
        <w:ind w:firstLine="851"/>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Суыармалы егістік  жерлердің топырақ сапасын айырғанда жоғарыда айтылған алты көрсеткіштерге қосымша төмендегі қосымша төмендегі көрсеткіштер ескеріледі:</w:t>
      </w:r>
    </w:p>
    <w:p w:rsidR="00A53188" w:rsidRPr="00D77337" w:rsidRDefault="00A53188" w:rsidP="00A53188">
      <w:pPr>
        <w:pStyle w:val="a3"/>
        <w:ind w:firstLine="851"/>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1) топырақ құрамындағы тұздың орта мөлшері топырақтың 0-50 см. қабатына қоса 50-100 см қабатында алынады (топырақтың екінші қайтара тұздануын (вторичное засоленность) білу үшін;</w:t>
      </w:r>
    </w:p>
    <w:p w:rsidR="00A53188" w:rsidRPr="00D77337" w:rsidRDefault="00A53188" w:rsidP="00A53188">
      <w:pPr>
        <w:pStyle w:val="a3"/>
        <w:ind w:firstLine="851"/>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2) топырақтың 0-50 см қабатындағы кішкене бөлшектердің орташа өлшем мөлшері;</w:t>
      </w:r>
    </w:p>
    <w:p w:rsidR="00A53188" w:rsidRPr="00D77337" w:rsidRDefault="00A53188" w:rsidP="00A53188">
      <w:pPr>
        <w:pStyle w:val="a3"/>
        <w:ind w:firstLine="851"/>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3)топырақтың ұсақ бөлшекті қабатының қуаты (мощность мелкоземнестого слоя).</w:t>
      </w:r>
    </w:p>
    <w:p w:rsidR="00A53188" w:rsidRPr="00D77337" w:rsidRDefault="00A53188" w:rsidP="00A53188">
      <w:pPr>
        <w:pStyle w:val="a3"/>
        <w:ind w:firstLine="851"/>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Эталон ретінде топырақтың 0-50 см қабатындағы қарашіріннің 2,5%-ке тең мөлшері алынады.</w:t>
      </w:r>
    </w:p>
    <w:p w:rsidR="00A53188" w:rsidRPr="00D77337" w:rsidRDefault="00A53188" w:rsidP="00A53188">
      <w:pPr>
        <w:pStyle w:val="a3"/>
        <w:ind w:firstLine="851"/>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Шығымдылық пен топырапқтың балл бонитетінің арасындағы байланыстың тығыздық өлшемі ретінде бірнешеден корреляциялық коэффициентті қолданған жөн. Егер олардың арасында тікелей байланыс (тәуелдік) болса, онда регрессия теңдеуі  есептелінеді. Сол арқылы шығымдылықтың өзгеруіне сәйкес топырақ сапасының балл көрсеткішінің өзгерісі анықталады. Регрессия теңдігі бойынша топырақ сапасы балының және шығымдылықтың шамасын теориялық тұрғыдан есептелінеді. Осыдан  кейін оларды практикалық көрсеткіштермен салыстырып, олардың айырмасының екі есе дәрежесінің орташа мәні үйлесімдік шама ретінде пайдаланылады.</w:t>
      </w:r>
    </w:p>
    <w:p w:rsidR="00A53188" w:rsidRPr="00D77337" w:rsidRDefault="00A53188" w:rsidP="00A53188">
      <w:pPr>
        <w:pStyle w:val="a3"/>
        <w:ind w:firstLine="851"/>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Табиғи жайылым алаптарының топырағының сапсын айыру.</w:t>
      </w:r>
    </w:p>
    <w:p w:rsidR="00A53188" w:rsidRPr="00D77337" w:rsidRDefault="00A53188" w:rsidP="00A53188">
      <w:pPr>
        <w:pStyle w:val="a3"/>
        <w:ind w:firstLine="851"/>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Бұл жұмысты геоботаникалық зерттеу мәліметтерінің негізінде өсімдіктердің белгілі бір топырақ түрлерінің бағалау топтарына ұштастырылған түрлері бойынша жүргізіледі. Табиғи жайылымдық алаптардың  топырақ сапасы екі түрлі көрсеткішпен анықталады: мал азықтық бірлік  (кормовая единица) және сіңірілгіш протеин  (переваримый протеин) арқылы. бірінші (малазықтық бірлік) негізгі көрсеткішті  болып саналады, ал екінші  көрсеткішті анықтаудың мақсаты сіңірілгіш  протеиннің қаншалықты жетіспеушілігін және оның орнына пайдаланатын  қажеттілікті көрсету болып саналады. Эталон ретінде (100 балл) бір ггектар алаптың 10 ц. Малазықтық бірлікке және 100 кг протеинге тең өнімділігі алынады. Осы жолмен анықталған баллдардыңи нәтижесі бойынша бонитировкалық шкала жасалады.</w:t>
      </w:r>
    </w:p>
    <w:p w:rsidR="00A53188" w:rsidRPr="00D77337" w:rsidRDefault="00A53188" w:rsidP="00A53188">
      <w:pPr>
        <w:pStyle w:val="a3"/>
        <w:ind w:firstLine="851"/>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Жер учаскесінің кадастрлық нөмірі мемлекеттік кадастр кітабына енгізіледі және есептік кварталдың кадастр картасына қойылады.</w:t>
      </w:r>
    </w:p>
    <w:p w:rsidR="006B474D" w:rsidRPr="00A53188" w:rsidRDefault="006B474D">
      <w:pPr>
        <w:rPr>
          <w:lang w:val="kk-KZ"/>
        </w:rPr>
      </w:pPr>
    </w:p>
    <w:sectPr w:rsidR="006B474D" w:rsidRPr="00A53188" w:rsidSect="006B474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A53188"/>
    <w:rsid w:val="006B474D"/>
    <w:rsid w:val="00A5318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474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qFormat/>
    <w:rsid w:val="00A53188"/>
    <w:pPr>
      <w:spacing w:after="0" w:line="240" w:lineRule="auto"/>
    </w:pPr>
    <w:rPr>
      <w:rFonts w:eastAsiaTheme="minorEastAsia"/>
      <w:lang w:eastAsia="ru-RU"/>
    </w:rPr>
  </w:style>
  <w:style w:type="character" w:customStyle="1" w:styleId="a4">
    <w:name w:val="Без интервала Знак"/>
    <w:link w:val="a3"/>
    <w:locked/>
    <w:rsid w:val="00A53188"/>
    <w:rPr>
      <w:rFonts w:eastAsiaTheme="minorEastAsia"/>
      <w:lang w:eastAsia="ru-RU"/>
    </w:rPr>
  </w:style>
  <w:style w:type="paragraph" w:styleId="a5">
    <w:name w:val="Balloon Text"/>
    <w:basedOn w:val="a"/>
    <w:link w:val="a6"/>
    <w:uiPriority w:val="99"/>
    <w:semiHidden/>
    <w:unhideWhenUsed/>
    <w:rsid w:val="00A5318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5318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438</Words>
  <Characters>2501</Characters>
  <Application>Microsoft Office Word</Application>
  <DocSecurity>0</DocSecurity>
  <Lines>20</Lines>
  <Paragraphs>5</Paragraphs>
  <ScaleCrop>false</ScaleCrop>
  <Company/>
  <LinksUpToDate>false</LinksUpToDate>
  <CharactersWithSpaces>2934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1</cp:revision>
  <dcterms:created xsi:type="dcterms:W3CDTF">2023-10-16T16:06:00Z</dcterms:created>
  <dcterms:modified xsi:type="dcterms:W3CDTF">2023-10-16T16:07:00Z</dcterms:modified>
</cp:coreProperties>
</file>